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1D6464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Kapalı spor salonu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C47400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Salgın süresince yurtlarda yer alan kapalı spor salonları randevu sistemiyle, sınırlı sürede sınırlı öğrenciyle çalışmaya devam etmelidir. Öğrenciler randevu saatine uymalıdır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C47400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salonlarında uyulması gereken kurallar salonun girişine asılmalıdır.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salonundaki kişi sayısı her 6 metrekareye bir kişi olacak şekilde sınırlandırılmalıdır.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aktivitesi damlacık çıkışı ve hızını artırmaktadır. Bu nedenle asgari fiziki mesafe en az 2 metre olmak üzere mümkün olan en yüksek mesafeye göre düzenleme yapılmalıdır.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 xml:space="preserve">Spor salonundaki koşu bandı/bisiklet vb. </w:t>
            </w:r>
            <w:proofErr w:type="gramStart"/>
            <w:r w:rsidRPr="001C36E6">
              <w:rPr>
                <w:sz w:val="22"/>
                <w:szCs w:val="22"/>
              </w:rPr>
              <w:t>ekipman</w:t>
            </w:r>
            <w:proofErr w:type="gramEnd"/>
            <w:r w:rsidRPr="001C36E6">
              <w:rPr>
                <w:sz w:val="22"/>
                <w:szCs w:val="22"/>
              </w:rPr>
              <w:t xml:space="preserve"> aralarında en az 2 metre olacak şekilde yerleştirilmelidir.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Yakın temas gerektiren sporlar ile takım halinde yapılan grup egzersiz ve sporlar yapılmamalıdır.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 xml:space="preserve">Spor salonu içinde de öğrenci ve personel maske takmaya devam etmelidirler. Yüksek </w:t>
            </w:r>
            <w:proofErr w:type="gramStart"/>
            <w:r w:rsidRPr="001C36E6">
              <w:rPr>
                <w:sz w:val="22"/>
                <w:szCs w:val="22"/>
              </w:rPr>
              <w:t>efor</w:t>
            </w:r>
            <w:proofErr w:type="gramEnd"/>
            <w:r w:rsidRPr="001C36E6">
              <w:rPr>
                <w:sz w:val="22"/>
                <w:szCs w:val="22"/>
              </w:rPr>
              <w:t xml:space="preserve"> gerektiren sporlar nefes alıp vermeyi zorlaştırabileceği için maskesiz yapılabilir.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352C2A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salonuna girdikten sonra eller yıkanmalı ya da el antiseptiği kullanılmalıdır.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2324E4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salonu içinde mecbur olmadıkça yüzeylere dokunulmamalıdır. Sık dokunulması mümkün olan yüzeylerin farkında olunmalı ve buralara dokunulduğunda el antiseptiği kullanılmalıdır.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10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2324E4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salonu düzenli aralıklarla temizlenmeli ve sık sık havalandırılmalıdır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11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2324E4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salonlarının giriş ve çıkışına pedallı ve kapaklı atık kumbaraları konulmalı ve düzenli olarak boşaltılmalıdır.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2324E4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Spor salonuna giderken kişisel havlu ve mat vb. malzemeler götürülmelidir. Havlular, kuruluş tarafından veriliyorsa poşetli olması veya görevli personel</w:t>
            </w:r>
            <w:r w:rsidRPr="001C36E6">
              <w:rPr>
                <w:sz w:val="22"/>
                <w:szCs w:val="22"/>
              </w:rPr>
              <w:t xml:space="preserve"> </w:t>
            </w:r>
            <w:r w:rsidRPr="001C36E6">
              <w:rPr>
                <w:sz w:val="22"/>
                <w:szCs w:val="22"/>
              </w:rPr>
              <w:t>tarafından verilmesi, mat türü malzemenin de her kullanıcıdan sonra dezenfeksiyonunun sağlanması gerekmektedir.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13</w:t>
            </w:r>
          </w:p>
        </w:tc>
        <w:tc>
          <w:tcPr>
            <w:tcW w:w="8363" w:type="dxa"/>
            <w:gridSpan w:val="4"/>
          </w:tcPr>
          <w:p w:rsidR="002324E4" w:rsidRPr="001C36E6" w:rsidRDefault="001C36E6" w:rsidP="002324E4">
            <w:pPr>
              <w:tabs>
                <w:tab w:val="left" w:pos="3720"/>
                <w:tab w:val="left" w:pos="5074"/>
              </w:tabs>
              <w:rPr>
                <w:sz w:val="22"/>
                <w:szCs w:val="22"/>
                <w:lang w:val="sv-SE"/>
              </w:rPr>
            </w:pPr>
            <w:r w:rsidRPr="001C36E6">
              <w:rPr>
                <w:sz w:val="22"/>
                <w:szCs w:val="22"/>
              </w:rPr>
              <w:t>Görevli personelin salgın hastalıkların bulaşma yolları ve korunma önlemleri hususunda bilgilenmesi sağlanmalıdır.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8B7217">
        <w:trPr>
          <w:cantSplit/>
          <w:trHeight w:val="1739"/>
        </w:trPr>
        <w:tc>
          <w:tcPr>
            <w:tcW w:w="567" w:type="dxa"/>
            <w:textDirection w:val="btLr"/>
          </w:tcPr>
          <w:p w:rsidR="00F6788A" w:rsidRPr="00C47400" w:rsidRDefault="00F6788A" w:rsidP="00F6788A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Pr="00C47400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186909" w:rsidRPr="003A12EA" w:rsidRDefault="00186909" w:rsidP="00186909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p w:rsidR="00955EAC" w:rsidRPr="00955EAC" w:rsidRDefault="00955EAC" w:rsidP="00955EAC">
      <w:pPr>
        <w:rPr>
          <w:b/>
          <w:sz w:val="24"/>
          <w:szCs w:val="24"/>
        </w:rPr>
      </w:pPr>
      <w:bookmarkStart w:id="0" w:name="_GoBack"/>
      <w:bookmarkEnd w:id="0"/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0C" w:rsidRDefault="007C400C">
      <w:r>
        <w:separator/>
      </w:r>
    </w:p>
  </w:endnote>
  <w:endnote w:type="continuationSeparator" w:id="0">
    <w:p w:rsidR="007C400C" w:rsidRDefault="007C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0C" w:rsidRDefault="007C400C">
      <w:r>
        <w:separator/>
      </w:r>
    </w:p>
  </w:footnote>
  <w:footnote w:type="continuationSeparator" w:id="0">
    <w:p w:rsidR="007C400C" w:rsidRDefault="007C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86909"/>
    <w:rsid w:val="001B17FE"/>
    <w:rsid w:val="001C36E6"/>
    <w:rsid w:val="001C5D58"/>
    <w:rsid w:val="001D6464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C6CF0"/>
    <w:rsid w:val="003D051F"/>
    <w:rsid w:val="003D5405"/>
    <w:rsid w:val="003F17B8"/>
    <w:rsid w:val="00413A29"/>
    <w:rsid w:val="004147B9"/>
    <w:rsid w:val="004245C5"/>
    <w:rsid w:val="005A7B41"/>
    <w:rsid w:val="005E22FD"/>
    <w:rsid w:val="0060138A"/>
    <w:rsid w:val="006057CD"/>
    <w:rsid w:val="00677815"/>
    <w:rsid w:val="006854F2"/>
    <w:rsid w:val="006B41CF"/>
    <w:rsid w:val="007338C9"/>
    <w:rsid w:val="00755FE7"/>
    <w:rsid w:val="007569AA"/>
    <w:rsid w:val="0076311D"/>
    <w:rsid w:val="00764301"/>
    <w:rsid w:val="00770EBE"/>
    <w:rsid w:val="0078119E"/>
    <w:rsid w:val="007C400C"/>
    <w:rsid w:val="007D3038"/>
    <w:rsid w:val="007F4C59"/>
    <w:rsid w:val="008128C5"/>
    <w:rsid w:val="00831D72"/>
    <w:rsid w:val="00840F5D"/>
    <w:rsid w:val="008859AA"/>
    <w:rsid w:val="008B7217"/>
    <w:rsid w:val="008F21AF"/>
    <w:rsid w:val="00916425"/>
    <w:rsid w:val="009422AA"/>
    <w:rsid w:val="00955EAC"/>
    <w:rsid w:val="009B408A"/>
    <w:rsid w:val="009D359E"/>
    <w:rsid w:val="009E4BB7"/>
    <w:rsid w:val="00A37B9E"/>
    <w:rsid w:val="00A77211"/>
    <w:rsid w:val="00AC73F9"/>
    <w:rsid w:val="00AD778B"/>
    <w:rsid w:val="00AE604E"/>
    <w:rsid w:val="00B05095"/>
    <w:rsid w:val="00B53BD2"/>
    <w:rsid w:val="00B55A30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333FE"/>
    <w:rsid w:val="00D443C8"/>
    <w:rsid w:val="00D749BB"/>
    <w:rsid w:val="00E41697"/>
    <w:rsid w:val="00E63AAD"/>
    <w:rsid w:val="00E67BE8"/>
    <w:rsid w:val="00E742DC"/>
    <w:rsid w:val="00ED0609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4</cp:revision>
  <cp:lastPrinted>2019-03-13T09:37:00Z</cp:lastPrinted>
  <dcterms:created xsi:type="dcterms:W3CDTF">2020-10-24T14:53:00Z</dcterms:created>
  <dcterms:modified xsi:type="dcterms:W3CDTF">2020-11-01T17:28:00Z</dcterms:modified>
</cp:coreProperties>
</file>